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B31FD" w14:textId="77777777" w:rsidR="00A47FC0" w:rsidRDefault="00A47FC0" w:rsidP="00A47FC0"/>
    <w:p w14:paraId="3D09A61B" w14:textId="77777777" w:rsidR="007C6461" w:rsidRPr="007C6461" w:rsidRDefault="007C6461" w:rsidP="00A47FC0">
      <w:pPr>
        <w:rPr>
          <w:rFonts w:asciiTheme="minorHAnsi" w:hAnsiTheme="minorHAnsi" w:cstheme="minorHAnsi"/>
        </w:rPr>
      </w:pPr>
    </w:p>
    <w:p w14:paraId="36362291" w14:textId="77777777" w:rsidR="007C6461" w:rsidRPr="0014179E" w:rsidRDefault="007C6461" w:rsidP="007C6461">
      <w:pPr>
        <w:jc w:val="center"/>
        <w:rPr>
          <w:rFonts w:asciiTheme="minorHAnsi" w:hAnsiTheme="minorHAnsi" w:cstheme="minorHAnsi"/>
          <w:b/>
          <w:bCs/>
        </w:rPr>
      </w:pPr>
    </w:p>
    <w:p w14:paraId="55D8D676" w14:textId="77777777" w:rsidR="0014179E" w:rsidRPr="0014179E" w:rsidRDefault="00BD7173" w:rsidP="0014179E">
      <w:pPr>
        <w:jc w:val="center"/>
        <w:rPr>
          <w:rFonts w:asciiTheme="minorHAnsi" w:hAnsiTheme="minorHAnsi" w:cstheme="minorHAnsi"/>
          <w:b/>
          <w:bCs/>
        </w:rPr>
      </w:pPr>
      <w:r w:rsidRPr="0014179E">
        <w:rPr>
          <w:rFonts w:asciiTheme="minorHAnsi" w:hAnsiTheme="minorHAnsi" w:cstheme="minorHAnsi"/>
          <w:b/>
          <w:bCs/>
        </w:rPr>
        <w:t>CURSO</w:t>
      </w:r>
      <w:r w:rsidR="0014179E" w:rsidRPr="0014179E">
        <w:rPr>
          <w:rFonts w:asciiTheme="minorHAnsi" w:hAnsiTheme="minorHAnsi" w:cstheme="minorHAnsi"/>
          <w:b/>
          <w:bCs/>
        </w:rPr>
        <w:t>:</w:t>
      </w:r>
    </w:p>
    <w:p w14:paraId="7AA85923" w14:textId="6CA69EDF" w:rsidR="0014179E" w:rsidRPr="0014179E" w:rsidRDefault="00723248" w:rsidP="0014179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Estrategias para el abordaje de la violencia de género en el trabajo</w:t>
      </w:r>
    </w:p>
    <w:p w14:paraId="27707F9D" w14:textId="77777777" w:rsidR="00BD7173" w:rsidRDefault="00BD7173" w:rsidP="00BD7173">
      <w:pPr>
        <w:rPr>
          <w:rFonts w:asciiTheme="minorHAnsi" w:hAnsiTheme="minorHAnsi" w:cstheme="minorHAnsi"/>
          <w:b/>
          <w:bCs/>
        </w:rPr>
      </w:pPr>
    </w:p>
    <w:p w14:paraId="21DC7318" w14:textId="77777777" w:rsidR="00BD7173" w:rsidRDefault="00BD7173" w:rsidP="00BD7173">
      <w:pPr>
        <w:rPr>
          <w:rFonts w:asciiTheme="minorHAnsi" w:hAnsiTheme="minorHAnsi" w:cstheme="minorHAnsi"/>
          <w:b/>
          <w:bCs/>
        </w:rPr>
      </w:pPr>
    </w:p>
    <w:p w14:paraId="21381705" w14:textId="77777777" w:rsidR="00BD7173" w:rsidRDefault="00BD7173" w:rsidP="00BD7173">
      <w:pPr>
        <w:rPr>
          <w:rFonts w:asciiTheme="minorHAnsi" w:hAnsiTheme="minorHAnsi" w:cstheme="minorHAnsi"/>
          <w:bCs/>
        </w:rPr>
      </w:pPr>
      <w:r w:rsidRPr="00BD7173">
        <w:rPr>
          <w:rFonts w:asciiTheme="minorHAnsi" w:hAnsiTheme="minorHAnsi" w:cstheme="minorHAnsi"/>
          <w:b/>
          <w:bCs/>
        </w:rPr>
        <w:t>Duración</w:t>
      </w:r>
      <w:r w:rsidR="0058191E" w:rsidRPr="00BD7173">
        <w:rPr>
          <w:rFonts w:asciiTheme="minorHAnsi" w:hAnsiTheme="minorHAnsi" w:cstheme="minorHAnsi"/>
          <w:b/>
          <w:bCs/>
        </w:rPr>
        <w:t>:</w:t>
      </w:r>
      <w:r w:rsidR="00F035FB" w:rsidRPr="0014179E">
        <w:rPr>
          <w:rFonts w:asciiTheme="minorHAnsi" w:hAnsiTheme="minorHAnsi" w:cstheme="minorHAnsi"/>
          <w:bCs/>
        </w:rPr>
        <w:t xml:space="preserve"> </w:t>
      </w:r>
      <w:r w:rsidR="00245FB0" w:rsidRPr="0014179E">
        <w:rPr>
          <w:rFonts w:asciiTheme="minorHAnsi" w:hAnsiTheme="minorHAnsi" w:cstheme="minorHAnsi"/>
          <w:bCs/>
        </w:rPr>
        <w:t>8</w:t>
      </w:r>
      <w:r w:rsidRPr="0014179E">
        <w:rPr>
          <w:rFonts w:asciiTheme="minorHAnsi" w:hAnsiTheme="minorHAnsi" w:cstheme="minorHAnsi"/>
          <w:bCs/>
        </w:rPr>
        <w:t xml:space="preserve"> </w:t>
      </w:r>
      <w:r w:rsidR="00D80026" w:rsidRPr="0014179E">
        <w:rPr>
          <w:rFonts w:asciiTheme="minorHAnsi" w:hAnsiTheme="minorHAnsi" w:cstheme="minorHAnsi"/>
          <w:bCs/>
        </w:rPr>
        <w:t xml:space="preserve"> horas</w:t>
      </w:r>
    </w:p>
    <w:p w14:paraId="38467AF8" w14:textId="7B6E86B4" w:rsidR="00F00774" w:rsidRPr="0014179E" w:rsidRDefault="00F00774" w:rsidP="00BD717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Pr="00F00774">
        <w:rPr>
          <w:rFonts w:asciiTheme="minorHAnsi" w:hAnsiTheme="minorHAnsi" w:cstheme="minorHAnsi"/>
          <w:b/>
          <w:bCs/>
        </w:rPr>
        <w:t>Código sence</w:t>
      </w:r>
      <w:r>
        <w:rPr>
          <w:rFonts w:asciiTheme="minorHAnsi" w:hAnsiTheme="minorHAnsi" w:cstheme="minorHAnsi"/>
          <w:bCs/>
        </w:rPr>
        <w:t xml:space="preserve">: </w:t>
      </w:r>
      <w:r w:rsidRPr="00F00774">
        <w:rPr>
          <w:rFonts w:asciiTheme="minorHAnsi" w:hAnsiTheme="minorHAnsi" w:cstheme="minorHAnsi"/>
          <w:bCs/>
        </w:rPr>
        <w:t>1238039362</w:t>
      </w:r>
      <w:bookmarkStart w:id="0" w:name="_GoBack"/>
      <w:bookmarkEnd w:id="0"/>
    </w:p>
    <w:p w14:paraId="7FD7D03D" w14:textId="77777777" w:rsidR="000A3E91" w:rsidRPr="00BD7173" w:rsidRDefault="000A3E91" w:rsidP="00BD7173">
      <w:pPr>
        <w:rPr>
          <w:rFonts w:asciiTheme="minorHAnsi" w:hAnsiTheme="minorHAnsi" w:cstheme="minorHAnsi"/>
          <w:b/>
          <w:bCs/>
        </w:rPr>
      </w:pPr>
    </w:p>
    <w:p w14:paraId="155CA18F" w14:textId="77777777" w:rsidR="00BD7173" w:rsidRDefault="00BD7173" w:rsidP="00BD7173">
      <w:pPr>
        <w:rPr>
          <w:rFonts w:asciiTheme="minorHAnsi" w:hAnsiTheme="minorHAnsi" w:cstheme="minorHAnsi"/>
          <w:b/>
          <w:bCs/>
        </w:rPr>
      </w:pPr>
      <w:r w:rsidRPr="00BD7173">
        <w:rPr>
          <w:rFonts w:asciiTheme="minorHAnsi" w:hAnsiTheme="minorHAnsi" w:cstheme="minorHAnsi"/>
          <w:b/>
          <w:bCs/>
        </w:rPr>
        <w:t>Objetivo General</w:t>
      </w:r>
    </w:p>
    <w:p w14:paraId="1DAEA5EC" w14:textId="77777777" w:rsidR="00DE0257" w:rsidRPr="00BD7173" w:rsidRDefault="00DE0257" w:rsidP="00BD7173">
      <w:pPr>
        <w:rPr>
          <w:rFonts w:asciiTheme="minorHAnsi" w:hAnsiTheme="minorHAnsi" w:cstheme="minorHAnsi"/>
          <w:b/>
          <w:bCs/>
        </w:rPr>
      </w:pPr>
    </w:p>
    <w:p w14:paraId="559678A3" w14:textId="437EA4AD" w:rsidR="00A00604" w:rsidRDefault="00245FB0" w:rsidP="003D560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El curso se propone </w:t>
      </w:r>
      <w:r w:rsidR="00A00604">
        <w:rPr>
          <w:rFonts w:ascii="Calibri" w:hAnsi="Calibri" w:cs="Calibri"/>
          <w:color w:val="000000"/>
          <w:sz w:val="22"/>
          <w:szCs w:val="22"/>
        </w:rPr>
        <w:t>presentar una serie de estrategias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00604">
        <w:rPr>
          <w:rFonts w:ascii="Calibri" w:hAnsi="Calibri" w:cs="Calibri"/>
          <w:color w:val="000000"/>
          <w:sz w:val="22"/>
          <w:szCs w:val="22"/>
        </w:rPr>
        <w:t>para</w:t>
      </w:r>
      <w:r>
        <w:rPr>
          <w:rFonts w:ascii="Calibri" w:hAnsi="Calibri" w:cs="Calibri"/>
          <w:color w:val="000000"/>
          <w:sz w:val="22"/>
          <w:szCs w:val="22"/>
        </w:rPr>
        <w:t xml:space="preserve"> la incorporación de la perspectiva de género en</w:t>
      </w:r>
      <w:r w:rsidR="00A00604">
        <w:rPr>
          <w:rFonts w:ascii="Calibri" w:hAnsi="Calibri" w:cs="Calibri"/>
          <w:color w:val="000000"/>
          <w:sz w:val="22"/>
          <w:szCs w:val="22"/>
        </w:rPr>
        <w:t xml:space="preserve"> los espacios laborales con el propósito de avanzar a la construcción de escenarios libres de violencia de género en el trabajo.</w:t>
      </w:r>
      <w:r>
        <w:rPr>
          <w:rFonts w:ascii="Calibri" w:hAnsi="Calibri" w:cs="Calibri"/>
          <w:color w:val="000000"/>
          <w:sz w:val="22"/>
          <w:szCs w:val="22"/>
        </w:rPr>
        <w:t xml:space="preserve"> De esta manera, </w:t>
      </w:r>
      <w:r w:rsidR="00A00604">
        <w:rPr>
          <w:rFonts w:ascii="Calibri" w:hAnsi="Calibri" w:cs="Calibri"/>
          <w:color w:val="000000"/>
          <w:sz w:val="22"/>
          <w:szCs w:val="22"/>
        </w:rPr>
        <w:t xml:space="preserve">se identificarán diversos tipos de violencias laborales desde una perspectiva de género, así como también estrategias para su prevención y abordaje situado, problematizando desde los estilos de liderazgo, hasta las políticas de cuotas, representatividad, salud laboral y masculinidades, para finalizar analizando el marco legal y normativo actual en Chile. </w:t>
      </w:r>
    </w:p>
    <w:p w14:paraId="76B9C685" w14:textId="77777777" w:rsidR="00245FB0" w:rsidRDefault="00245FB0" w:rsidP="00BD7173">
      <w:pPr>
        <w:rPr>
          <w:rFonts w:asciiTheme="minorHAnsi" w:hAnsiTheme="minorHAnsi" w:cstheme="minorHAnsi"/>
        </w:rPr>
      </w:pPr>
    </w:p>
    <w:p w14:paraId="5001D001" w14:textId="77777777" w:rsidR="00BD7173" w:rsidRDefault="00BD7173" w:rsidP="00BD7173">
      <w:pPr>
        <w:rPr>
          <w:rFonts w:asciiTheme="minorHAnsi" w:hAnsiTheme="minorHAnsi" w:cstheme="minorHAnsi"/>
          <w:b/>
          <w:bCs/>
        </w:rPr>
      </w:pPr>
      <w:r w:rsidRPr="00BD7173">
        <w:rPr>
          <w:rFonts w:asciiTheme="minorHAnsi" w:hAnsiTheme="minorHAnsi" w:cstheme="minorHAnsi"/>
          <w:b/>
          <w:bCs/>
        </w:rPr>
        <w:t>Objetivos específicos</w:t>
      </w:r>
    </w:p>
    <w:p w14:paraId="7095A195" w14:textId="77777777" w:rsidR="00DE0257" w:rsidRPr="00BD7173" w:rsidRDefault="00DE0257" w:rsidP="00BD7173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3622"/>
        <w:gridCol w:w="974"/>
        <w:gridCol w:w="793"/>
      </w:tblGrid>
      <w:tr w:rsidR="00A00604" w:rsidRPr="0014179E" w14:paraId="22AC2FE6" w14:textId="77777777" w:rsidTr="001417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764CE8F" w14:textId="77777777" w:rsidR="0014179E" w:rsidRPr="0014179E" w:rsidRDefault="0014179E" w:rsidP="0014179E">
            <w:pPr>
              <w:ind w:left="213"/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OBJETIVOS ESPECÍFICOS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55207D" w14:textId="77777777" w:rsidR="0014179E" w:rsidRPr="0014179E" w:rsidRDefault="0014179E" w:rsidP="0014179E">
            <w:pPr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CONTENIDOS</w:t>
            </w:r>
          </w:p>
          <w:p w14:paraId="29CC1B67" w14:textId="77777777" w:rsidR="0014179E" w:rsidRPr="0014179E" w:rsidRDefault="0014179E" w:rsidP="0014179E">
            <w:pPr>
              <w:rPr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643F68B" w14:textId="77777777" w:rsidR="0014179E" w:rsidRPr="0014179E" w:rsidRDefault="0014179E" w:rsidP="0014179E">
            <w:pPr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Relatora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855E7D8" w14:textId="77777777" w:rsidR="0014179E" w:rsidRPr="0014179E" w:rsidRDefault="0014179E" w:rsidP="0014179E">
            <w:pPr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HORAS</w:t>
            </w:r>
          </w:p>
        </w:tc>
      </w:tr>
      <w:tr w:rsidR="0014179E" w:rsidRPr="0014179E" w14:paraId="66341688" w14:textId="77777777" w:rsidTr="0014179E">
        <w:trPr>
          <w:trHeight w:val="33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2B649A5" w14:textId="77777777" w:rsidR="0014179E" w:rsidRPr="0014179E" w:rsidRDefault="0014179E" w:rsidP="0014179E">
            <w:pPr>
              <w:shd w:val="clear" w:color="auto" w:fill="FFFFFF"/>
              <w:ind w:right="148"/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b/>
                <w:bCs/>
                <w:color w:val="4A86E8"/>
                <w:sz w:val="22"/>
                <w:szCs w:val="22"/>
                <w:shd w:val="clear" w:color="auto" w:fill="FFFFFF"/>
                <w:lang w:val="es-CL" w:eastAsia="es-CL"/>
              </w:rPr>
              <w:t>Primera sesión</w:t>
            </w:r>
          </w:p>
        </w:tc>
      </w:tr>
      <w:tr w:rsidR="00A00604" w:rsidRPr="0014179E" w14:paraId="107CF0D3" w14:textId="77777777" w:rsidTr="0014179E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7514634" w14:textId="77777777" w:rsidR="0014179E" w:rsidRPr="0014179E" w:rsidRDefault="0014179E" w:rsidP="0014179E">
            <w:pPr>
              <w:shd w:val="clear" w:color="auto" w:fill="FFFFFF"/>
              <w:ind w:right="148"/>
              <w:jc w:val="both"/>
              <w:rPr>
                <w:lang w:val="es-CL" w:eastAsia="es-CL"/>
              </w:rPr>
            </w:pPr>
          </w:p>
          <w:p w14:paraId="6BC3AB98" w14:textId="7CB301A9" w:rsidR="00723248" w:rsidRPr="00723248" w:rsidRDefault="00723248" w:rsidP="00723248">
            <w:pPr>
              <w:pStyle w:val="Prrafodelista"/>
              <w:numPr>
                <w:ilvl w:val="0"/>
                <w:numId w:val="26"/>
              </w:numPr>
              <w:shd w:val="clear" w:color="auto" w:fill="FFFFFF"/>
              <w:ind w:right="148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  <w:t>I</w:t>
            </w:r>
            <w:r w:rsidR="0014179E" w:rsidRPr="0072324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  <w:t>dentificar l</w:t>
            </w:r>
            <w:r w:rsidRPr="0072324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  <w:t>os tipos de violencia de género que se viven y ejercen en espacios laborales.</w:t>
            </w:r>
          </w:p>
          <w:p w14:paraId="03FF4130" w14:textId="7204EBA3" w:rsidR="0014179E" w:rsidRPr="00723248" w:rsidRDefault="00723248" w:rsidP="00723248">
            <w:pPr>
              <w:pStyle w:val="Prrafodelista"/>
              <w:numPr>
                <w:ilvl w:val="0"/>
                <w:numId w:val="26"/>
              </w:numPr>
              <w:shd w:val="clear" w:color="auto" w:fill="FFFFFF"/>
              <w:ind w:right="148"/>
              <w:jc w:val="both"/>
              <w:rPr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  <w:t>Comprender la importancia del liderazgo para la prevención de las violencias laborales y la construcción de espacios libres de violencia.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3A2A937" w14:textId="7E59570C" w:rsidR="00723248" w:rsidRDefault="00723248" w:rsidP="00723248">
            <w:pPr>
              <w:numPr>
                <w:ilvl w:val="0"/>
                <w:numId w:val="22"/>
              </w:numPr>
              <w:ind w:left="505" w:right="146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Relaciones de género y poder en los espacios laborales:</w:t>
            </w:r>
            <w:r w:rsidRPr="0014179E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 xml:space="preserve"> asimetrías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y desigualdades</w:t>
            </w:r>
          </w:p>
          <w:p w14:paraId="7CFEA4C7" w14:textId="69BB5A79" w:rsidR="0014179E" w:rsidRPr="0014179E" w:rsidRDefault="00723248" w:rsidP="0014179E">
            <w:pPr>
              <w:numPr>
                <w:ilvl w:val="0"/>
                <w:numId w:val="22"/>
              </w:numPr>
              <w:ind w:left="505" w:right="146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Tipos de violencias laborales más comunes desde una perspectiva de género.</w:t>
            </w:r>
          </w:p>
          <w:p w14:paraId="50045902" w14:textId="4F846423" w:rsidR="00723248" w:rsidRPr="0014179E" w:rsidRDefault="00723248" w:rsidP="0014179E">
            <w:pPr>
              <w:numPr>
                <w:ilvl w:val="0"/>
                <w:numId w:val="22"/>
              </w:numPr>
              <w:ind w:left="505" w:right="146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Estrategia 1: El rol del liderazgo para la construcción de espacios laborales libres de violencia.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1D77F29" w14:textId="77777777" w:rsidR="0014179E" w:rsidRDefault="0014179E" w:rsidP="001417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  <w:p w14:paraId="53363524" w14:textId="77777777" w:rsidR="0014179E" w:rsidRDefault="0014179E" w:rsidP="001417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  <w:p w14:paraId="7DD8294F" w14:textId="77777777" w:rsidR="00723248" w:rsidRDefault="00723248" w:rsidP="001417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  <w:p w14:paraId="61A17979" w14:textId="77777777" w:rsidR="0014179E" w:rsidRPr="0014179E" w:rsidRDefault="0014179E" w:rsidP="0014179E">
            <w:pPr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Ma. Pía Torres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ABDF72B" w14:textId="77777777" w:rsidR="0014179E" w:rsidRPr="0014179E" w:rsidRDefault="0014179E" w:rsidP="0014179E">
            <w:pPr>
              <w:rPr>
                <w:lang w:val="es-CL" w:eastAsia="es-CL"/>
              </w:rPr>
            </w:pPr>
          </w:p>
          <w:p w14:paraId="34BFE8CA" w14:textId="77777777" w:rsidR="0014179E" w:rsidRPr="0014179E" w:rsidRDefault="0014179E" w:rsidP="0014179E">
            <w:pPr>
              <w:jc w:val="center"/>
              <w:rPr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4</w:t>
            </w:r>
            <w:r w:rsidRPr="0014179E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.0</w:t>
            </w:r>
          </w:p>
          <w:p w14:paraId="415261C1" w14:textId="77777777" w:rsidR="0014179E" w:rsidRPr="0014179E" w:rsidRDefault="0014179E" w:rsidP="0014179E">
            <w:pPr>
              <w:spacing w:after="240"/>
              <w:rPr>
                <w:lang w:val="es-CL" w:eastAsia="es-CL"/>
              </w:rPr>
            </w:pPr>
          </w:p>
        </w:tc>
      </w:tr>
      <w:tr w:rsidR="0014179E" w:rsidRPr="0014179E" w14:paraId="4CA5E8E9" w14:textId="77777777" w:rsidTr="0014179E">
        <w:trPr>
          <w:trHeight w:val="37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42F7B9D" w14:textId="77777777" w:rsidR="0014179E" w:rsidRPr="0014179E" w:rsidRDefault="0014179E" w:rsidP="0014179E">
            <w:pPr>
              <w:shd w:val="clear" w:color="auto" w:fill="FFFFFF"/>
              <w:ind w:right="148"/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b/>
                <w:bCs/>
                <w:color w:val="4A86E8"/>
                <w:sz w:val="22"/>
                <w:szCs w:val="22"/>
                <w:shd w:val="clear" w:color="auto" w:fill="FFFFFF"/>
                <w:lang w:val="es-CL" w:eastAsia="es-CL"/>
              </w:rPr>
              <w:t>Segunda sesión </w:t>
            </w:r>
          </w:p>
        </w:tc>
      </w:tr>
      <w:tr w:rsidR="00A00604" w:rsidRPr="0014179E" w14:paraId="0B9EDBF2" w14:textId="77777777" w:rsidTr="003D560E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3E5194D" w14:textId="22D80F1E" w:rsidR="00A00604" w:rsidRPr="0014179E" w:rsidRDefault="00A00604" w:rsidP="00A00604">
            <w:pPr>
              <w:shd w:val="clear" w:color="auto" w:fill="FFFFFF"/>
              <w:ind w:right="148"/>
              <w:jc w:val="both"/>
              <w:rPr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  <w:t>3</w:t>
            </w:r>
            <w:r w:rsidRPr="0014179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  <w:t>. Identificar las manifestaciones de las relaciones de género y poder que se dan en el ámbito educativo.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46FA189" w14:textId="505B6F24" w:rsidR="00A00604" w:rsidRPr="0014179E" w:rsidRDefault="00A00604" w:rsidP="00A00604">
            <w:pPr>
              <w:numPr>
                <w:ilvl w:val="0"/>
                <w:numId w:val="23"/>
              </w:numPr>
              <w:shd w:val="clear" w:color="auto" w:fill="FFFFFF"/>
              <w:ind w:left="505" w:right="146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Estrategia 2: Políticas Laborales con perspectiva de género. Promoción de cuotas, escenarios de representatividad, masculinidad y salud laboral, y ejemplos de buenas prácticas.</w:t>
            </w:r>
          </w:p>
          <w:p w14:paraId="7994ECB1" w14:textId="77777777" w:rsidR="00A00604" w:rsidRPr="0014179E" w:rsidRDefault="00A00604" w:rsidP="00A00604">
            <w:pPr>
              <w:shd w:val="clear" w:color="auto" w:fill="FFFFFF"/>
              <w:ind w:left="428" w:right="146"/>
              <w:jc w:val="both"/>
              <w:rPr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5CE7CD" w14:textId="77777777" w:rsidR="00A00604" w:rsidRDefault="00A00604" w:rsidP="00A006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  <w:p w14:paraId="0C3583AF" w14:textId="77777777" w:rsidR="00A00604" w:rsidRDefault="00A00604" w:rsidP="00A006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  <w:p w14:paraId="7C098CBD" w14:textId="77777777" w:rsidR="00A00604" w:rsidRDefault="00A00604" w:rsidP="00A006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  <w:p w14:paraId="6A866305" w14:textId="15692965" w:rsidR="00A00604" w:rsidRPr="0014179E" w:rsidRDefault="00A00604" w:rsidP="00A00604">
            <w:pPr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Ma. Pía Torres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0919C32" w14:textId="77777777" w:rsidR="00A00604" w:rsidRPr="0014179E" w:rsidRDefault="00A00604" w:rsidP="00A00604">
            <w:pPr>
              <w:spacing w:after="240"/>
              <w:rPr>
                <w:lang w:val="es-CL" w:eastAsia="es-CL"/>
              </w:rPr>
            </w:pPr>
            <w:r w:rsidRPr="0014179E">
              <w:rPr>
                <w:lang w:val="es-CL" w:eastAsia="es-CL"/>
              </w:rPr>
              <w:br/>
            </w:r>
          </w:p>
          <w:p w14:paraId="2D21FACA" w14:textId="77777777" w:rsidR="00A00604" w:rsidRPr="0014179E" w:rsidRDefault="00A00604" w:rsidP="00A00604">
            <w:pPr>
              <w:jc w:val="center"/>
              <w:rPr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2.0</w:t>
            </w:r>
          </w:p>
        </w:tc>
      </w:tr>
      <w:tr w:rsidR="00A00604" w:rsidRPr="0014179E" w14:paraId="59968861" w14:textId="77777777" w:rsidTr="003D560E">
        <w:trPr>
          <w:trHeight w:val="1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8688E1B" w14:textId="11EF7256" w:rsidR="00A00604" w:rsidRPr="0014179E" w:rsidRDefault="00A00604" w:rsidP="00A00604">
            <w:pPr>
              <w:shd w:val="clear" w:color="auto" w:fill="FFFFFF"/>
              <w:ind w:right="148"/>
              <w:jc w:val="both"/>
              <w:rPr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  <w:lastRenderedPageBreak/>
              <w:t>4</w:t>
            </w:r>
            <w:r w:rsidRPr="0014179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  <w:t xml:space="preserve">. Conocer herramientas para el abordaje y sanción de las violencias de género en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L" w:eastAsia="es-CL"/>
              </w:rPr>
              <w:t>el ámbito del trabajo.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E208EAF" w14:textId="018B7EC5" w:rsidR="00A00604" w:rsidRPr="0014179E" w:rsidRDefault="00A00604" w:rsidP="00A00604">
            <w:pPr>
              <w:numPr>
                <w:ilvl w:val="0"/>
                <w:numId w:val="24"/>
              </w:numPr>
              <w:shd w:val="clear" w:color="auto" w:fill="FFFFFF"/>
              <w:ind w:left="505" w:right="146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 xml:space="preserve">Estrategia 3: </w:t>
            </w:r>
            <w:r w:rsidRPr="0014179E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La sanción como reparación de la violencia de género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: la construcción de protocolos.</w:t>
            </w:r>
          </w:p>
          <w:p w14:paraId="120E8022" w14:textId="247EC201" w:rsidR="00A00604" w:rsidRPr="0014179E" w:rsidRDefault="00A00604" w:rsidP="00A00604">
            <w:pPr>
              <w:numPr>
                <w:ilvl w:val="0"/>
                <w:numId w:val="24"/>
              </w:numPr>
              <w:shd w:val="clear" w:color="auto" w:fill="FFFFFF"/>
              <w:ind w:left="505" w:right="146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4179E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Marco legal sobre violencia y discriminación de género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 xml:space="preserve"> en el trabajo</w:t>
            </w:r>
            <w:r w:rsidRPr="0014179E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.</w:t>
            </w:r>
          </w:p>
          <w:p w14:paraId="51564070" w14:textId="27FFF268" w:rsidR="00A00604" w:rsidRPr="0014179E" w:rsidRDefault="00A00604" w:rsidP="00A00604">
            <w:pPr>
              <w:numPr>
                <w:ilvl w:val="0"/>
                <w:numId w:val="24"/>
              </w:numPr>
              <w:shd w:val="clear" w:color="auto" w:fill="FFFFFF"/>
              <w:ind w:left="505" w:right="146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Promulgación y entrada en vigencia de la Ley N°21.643 “Ley Karin”</w:t>
            </w:r>
          </w:p>
          <w:p w14:paraId="74F2E958" w14:textId="77777777" w:rsidR="00A00604" w:rsidRPr="0014179E" w:rsidRDefault="00A00604" w:rsidP="00A00604">
            <w:pPr>
              <w:shd w:val="clear" w:color="auto" w:fill="FFFFFF"/>
              <w:ind w:left="428" w:right="146"/>
              <w:jc w:val="both"/>
              <w:rPr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2C41FE8" w14:textId="77777777" w:rsidR="00A00604" w:rsidRDefault="00A00604" w:rsidP="00A006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  <w:p w14:paraId="306CE514" w14:textId="77777777" w:rsidR="00A00604" w:rsidRDefault="00A00604" w:rsidP="00A006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  <w:p w14:paraId="25EEBAF3" w14:textId="0908C4A7" w:rsidR="00A00604" w:rsidRPr="003D560E" w:rsidRDefault="00A00604" w:rsidP="00A006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  <w:r w:rsidRPr="003D560E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 xml:space="preserve">Camila Bonnet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286B7FF" w14:textId="77777777" w:rsidR="00A00604" w:rsidRPr="0014179E" w:rsidRDefault="00A00604" w:rsidP="00A00604">
            <w:pPr>
              <w:spacing w:after="240"/>
              <w:rPr>
                <w:lang w:val="es-CL" w:eastAsia="es-CL"/>
              </w:rPr>
            </w:pPr>
            <w:r w:rsidRPr="0014179E">
              <w:rPr>
                <w:lang w:val="es-CL" w:eastAsia="es-CL"/>
              </w:rPr>
              <w:br/>
            </w:r>
          </w:p>
          <w:p w14:paraId="154D8290" w14:textId="77777777" w:rsidR="00A00604" w:rsidRPr="0014179E" w:rsidRDefault="00A00604" w:rsidP="00A00604">
            <w:pPr>
              <w:jc w:val="center"/>
              <w:rPr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2.0</w:t>
            </w:r>
          </w:p>
        </w:tc>
      </w:tr>
      <w:tr w:rsidR="00A00604" w:rsidRPr="0014179E" w14:paraId="5BA09CA8" w14:textId="77777777" w:rsidTr="0014179E">
        <w:trPr>
          <w:trHeight w:val="2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2CC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EFAE8AC" w14:textId="77777777" w:rsidR="00A00604" w:rsidRPr="0014179E" w:rsidRDefault="00A00604" w:rsidP="00A00604">
            <w:pPr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                                     </w:t>
            </w:r>
          </w:p>
          <w:p w14:paraId="7ABCFCDA" w14:textId="77777777" w:rsidR="00A00604" w:rsidRPr="0014179E" w:rsidRDefault="00A00604" w:rsidP="00A00604">
            <w:pPr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      Total general de horas</w:t>
            </w:r>
          </w:p>
          <w:p w14:paraId="3F3D2677" w14:textId="77777777" w:rsidR="00A00604" w:rsidRPr="0014179E" w:rsidRDefault="00A00604" w:rsidP="00A00604">
            <w:pPr>
              <w:rPr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7F97308" w14:textId="77777777" w:rsidR="00A00604" w:rsidRPr="0014179E" w:rsidRDefault="00A00604" w:rsidP="00A00604">
            <w:pPr>
              <w:rPr>
                <w:lang w:val="es-CL" w:eastAsia="es-CL"/>
              </w:rPr>
            </w:pPr>
          </w:p>
          <w:p w14:paraId="27BEBE8B" w14:textId="77777777" w:rsidR="00A00604" w:rsidRPr="0014179E" w:rsidRDefault="00A00604" w:rsidP="00A00604">
            <w:pPr>
              <w:jc w:val="center"/>
              <w:rPr>
                <w:lang w:val="es-CL" w:eastAsia="es-CL"/>
              </w:rPr>
            </w:pPr>
            <w:r w:rsidRPr="00141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8 horas</w:t>
            </w:r>
          </w:p>
        </w:tc>
      </w:tr>
    </w:tbl>
    <w:p w14:paraId="3BA6C1C8" w14:textId="77777777" w:rsidR="00BD7173" w:rsidRPr="00BD7173" w:rsidRDefault="00BD7173" w:rsidP="00BD7173">
      <w:pPr>
        <w:rPr>
          <w:rFonts w:asciiTheme="minorHAnsi" w:hAnsiTheme="minorHAnsi" w:cstheme="minorHAnsi"/>
          <w:b/>
          <w:bCs/>
        </w:rPr>
      </w:pPr>
    </w:p>
    <w:p w14:paraId="0764ECF4" w14:textId="77777777" w:rsidR="00BD7173" w:rsidRPr="00BD7173" w:rsidRDefault="00BD7173" w:rsidP="00BD7173">
      <w:pPr>
        <w:rPr>
          <w:rFonts w:asciiTheme="minorHAnsi" w:hAnsiTheme="minorHAnsi" w:cstheme="minorHAnsi"/>
          <w:b/>
          <w:bCs/>
        </w:rPr>
      </w:pPr>
    </w:p>
    <w:p w14:paraId="45E2F135" w14:textId="77777777" w:rsidR="00BD7173" w:rsidRPr="00BD7173" w:rsidRDefault="00BD7173" w:rsidP="00BD7173">
      <w:pPr>
        <w:rPr>
          <w:rFonts w:asciiTheme="minorHAnsi" w:hAnsiTheme="minorHAnsi" w:cstheme="minorHAnsi"/>
          <w:b/>
          <w:bCs/>
        </w:rPr>
      </w:pPr>
      <w:r w:rsidRPr="00BD7173">
        <w:rPr>
          <w:rFonts w:asciiTheme="minorHAnsi" w:hAnsiTheme="minorHAnsi" w:cstheme="minorHAnsi"/>
          <w:b/>
          <w:bCs/>
        </w:rPr>
        <w:t>CERTIFICACIÓN</w:t>
      </w:r>
    </w:p>
    <w:p w14:paraId="2E4C4A4F" w14:textId="77777777" w:rsidR="00BD7173" w:rsidRPr="00BD7173" w:rsidRDefault="00BD7173" w:rsidP="00BD7173">
      <w:pPr>
        <w:rPr>
          <w:rFonts w:asciiTheme="minorHAnsi" w:hAnsiTheme="minorHAnsi" w:cstheme="minorHAnsi"/>
          <w:b/>
          <w:bCs/>
        </w:rPr>
      </w:pPr>
      <w:r w:rsidRPr="00BD7173">
        <w:rPr>
          <w:rFonts w:asciiTheme="minorHAnsi" w:hAnsiTheme="minorHAnsi" w:cstheme="minorHAnsi"/>
        </w:rPr>
        <w:t xml:space="preserve">Certificado de aprobación para </w:t>
      </w:r>
      <w:r w:rsidR="009B5ABF" w:rsidRPr="00BD7173">
        <w:rPr>
          <w:rFonts w:asciiTheme="minorHAnsi" w:hAnsiTheme="minorHAnsi" w:cstheme="minorHAnsi"/>
        </w:rPr>
        <w:t>aquellos alumnos</w:t>
      </w:r>
      <w:r w:rsidRPr="00BD7173">
        <w:rPr>
          <w:rFonts w:asciiTheme="minorHAnsi" w:hAnsiTheme="minorHAnsi" w:cstheme="minorHAnsi"/>
        </w:rPr>
        <w:t xml:space="preserve"> que</w:t>
      </w:r>
      <w:r>
        <w:rPr>
          <w:rFonts w:asciiTheme="minorHAnsi" w:hAnsiTheme="minorHAnsi" w:cstheme="minorHAnsi"/>
        </w:rPr>
        <w:t xml:space="preserve"> cumplan con el criterio</w:t>
      </w:r>
      <w:r w:rsidRPr="00BD7173">
        <w:rPr>
          <w:rFonts w:asciiTheme="minorHAnsi" w:hAnsiTheme="minorHAnsi" w:cstheme="minorHAnsi"/>
        </w:rPr>
        <w:t xml:space="preserve"> de evaluación  de 1 a 7 siendo un 4,0 la nota mínima de aprobación que corresponde a un 60% grado de dominio.</w:t>
      </w:r>
    </w:p>
    <w:p w14:paraId="3FCB7A30" w14:textId="77777777" w:rsidR="001F52F3" w:rsidRDefault="001F52F3" w:rsidP="00BD7173">
      <w:pPr>
        <w:rPr>
          <w:rFonts w:asciiTheme="minorHAnsi" w:hAnsiTheme="minorHAnsi" w:cstheme="minorHAnsi"/>
          <w:b/>
          <w:bCs/>
        </w:rPr>
      </w:pPr>
    </w:p>
    <w:p w14:paraId="7C1B53D5" w14:textId="77777777" w:rsidR="0014179E" w:rsidRDefault="0014179E" w:rsidP="0014179E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MÉTODO O TÉCNICA DE ENSEÑANZA.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8"/>
      </w:tblGrid>
      <w:tr w:rsidR="0014179E" w14:paraId="261E8587" w14:textId="77777777" w:rsidTr="00141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6C0EC3" w14:textId="2C9BF834" w:rsidR="0014179E" w:rsidRDefault="0014179E"/>
          <w:p w14:paraId="2F7F1666" w14:textId="77777777" w:rsidR="0014179E" w:rsidRDefault="0014179E" w:rsidP="0014179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right="145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metodología para la enseñanza-aprendizaje está articulada en base a clases expositivas, talleres para el aprendizaje entre pares al interior del aula, la presentación de recursos audiovisuales para promover ejercicios de quiebres cognitivos y el análisis de textos especializados desde una mirada crítica para fortalecer el diálogo entre personas participantes.</w:t>
            </w:r>
          </w:p>
          <w:p w14:paraId="398B0C70" w14:textId="77777777" w:rsidR="0014179E" w:rsidRDefault="0014179E" w:rsidP="0014179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right="145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Asimismo, como recurso adicional se facilitarán lecturas complementarias, películas y canciones para las personas participantes que deseen profundizar en las temáticas, problemas y preguntas que se presenten en el curso.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2669062C" w14:textId="77777777" w:rsidR="0014179E" w:rsidRDefault="0014179E">
            <w:pPr>
              <w:spacing w:after="240"/>
            </w:pPr>
          </w:p>
        </w:tc>
      </w:tr>
    </w:tbl>
    <w:p w14:paraId="7BF540B7" w14:textId="77777777" w:rsidR="0014179E" w:rsidRDefault="0014179E" w:rsidP="0014179E">
      <w:pPr>
        <w:spacing w:after="240"/>
      </w:pPr>
    </w:p>
    <w:p w14:paraId="0AC0A0EC" w14:textId="77777777" w:rsidR="0014179E" w:rsidRDefault="0014179E" w:rsidP="0014179E">
      <w:pPr>
        <w:pStyle w:val="NormalWeb"/>
        <w:spacing w:before="0" w:beforeAutospacing="0" w:after="0" w:afterAutospacing="0"/>
        <w:ind w:hanging="709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Recursos adicionales para la enseñanza-aprendizaje:</w:t>
      </w:r>
    </w:p>
    <w:p w14:paraId="1AEA3BB4" w14:textId="77777777" w:rsidR="0014179E" w:rsidRDefault="0014179E" w:rsidP="0014179E"/>
    <w:p w14:paraId="7FF66069" w14:textId="0F139921" w:rsidR="00A00604" w:rsidRPr="00A00604" w:rsidRDefault="00A00604" w:rsidP="00A00604">
      <w:pPr>
        <w:pStyle w:val="NormalWeb"/>
        <w:spacing w:before="0" w:beforeAutospacing="0" w:after="0" w:afterAutospacing="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A00604">
        <w:rPr>
          <w:rFonts w:asciiTheme="minorHAnsi" w:hAnsiTheme="minorHAnsi" w:cstheme="minorHAnsi"/>
          <w:sz w:val="22"/>
          <w:szCs w:val="22"/>
        </w:rPr>
        <w:t>Acevedo, D. (2002). Género y políticas laborales en un contexto de flexibilidad del trabajo, reestructuración productiva y precarización del trabajo.</w:t>
      </w:r>
    </w:p>
    <w:p w14:paraId="36D7C7AA" w14:textId="77777777" w:rsidR="00A00604" w:rsidRPr="00A00604" w:rsidRDefault="00A00604" w:rsidP="00A00604">
      <w:pPr>
        <w:pStyle w:val="NormalWeb"/>
        <w:spacing w:before="0" w:beforeAutospacing="0" w:after="0" w:afterAutospacing="0"/>
        <w:ind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8703E0B" w14:textId="77777777" w:rsidR="0014179E" w:rsidRPr="00A00604" w:rsidRDefault="0014179E" w:rsidP="0014179E">
      <w:pPr>
        <w:pStyle w:val="NormalWeb"/>
        <w:spacing w:before="0" w:beforeAutospacing="0" w:after="0" w:afterAutospacing="0"/>
        <w:ind w:hanging="709"/>
        <w:jc w:val="both"/>
        <w:rPr>
          <w:rStyle w:val="Hipervnculo"/>
          <w:rFonts w:asciiTheme="minorHAnsi" w:hAnsiTheme="minorHAnsi" w:cstheme="minorHAnsi"/>
          <w:color w:val="1155CC"/>
          <w:sz w:val="22"/>
          <w:szCs w:val="22"/>
        </w:rPr>
      </w:pPr>
      <w:r w:rsidRPr="00A00604">
        <w:rPr>
          <w:rFonts w:asciiTheme="minorHAnsi" w:hAnsiTheme="minorHAnsi" w:cstheme="minorHAnsi"/>
          <w:color w:val="000000"/>
          <w:sz w:val="22"/>
          <w:szCs w:val="22"/>
        </w:rPr>
        <w:t xml:space="preserve">Guzmán, Adriana. (2014). El Patriarcado. </w:t>
      </w:r>
      <w:hyperlink r:id="rId9" w:history="1">
        <w:r w:rsidRPr="00A00604">
          <w:rPr>
            <w:rStyle w:val="Hipervnculo"/>
            <w:rFonts w:asciiTheme="minorHAnsi" w:hAnsiTheme="minorHAnsi" w:cstheme="minorHAnsi"/>
            <w:color w:val="1155CC"/>
            <w:sz w:val="22"/>
            <w:szCs w:val="22"/>
          </w:rPr>
          <w:t>[Video YouTube 10 min]</w:t>
        </w:r>
      </w:hyperlink>
    </w:p>
    <w:p w14:paraId="3DE263B6" w14:textId="137CA5D7" w:rsidR="00FF1A6E" w:rsidRDefault="00FF1A6E" w:rsidP="00A00604">
      <w:pPr>
        <w:pStyle w:val="NormalWeb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FF1A6E">
        <w:rPr>
          <w:rFonts w:asciiTheme="minorHAnsi" w:hAnsiTheme="minorHAnsi" w:cstheme="minorHAnsi"/>
          <w:sz w:val="22"/>
          <w:szCs w:val="22"/>
        </w:rPr>
        <w:t>Texto: Lineamientos para la incorporación del enfoque de género en la salud ocupacional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FF1A6E">
          <w:rPr>
            <w:rStyle w:val="Hipervnculo"/>
            <w:rFonts w:asciiTheme="minorHAnsi" w:hAnsiTheme="minorHAnsi" w:cstheme="minorHAnsi"/>
            <w:sz w:val="22"/>
            <w:szCs w:val="22"/>
          </w:rPr>
          <w:t>Enlace a texto</w:t>
        </w:r>
      </w:hyperlink>
    </w:p>
    <w:p w14:paraId="5460E25A" w14:textId="1084489D" w:rsidR="00A00604" w:rsidRPr="00A00604" w:rsidRDefault="00A00604" w:rsidP="00A00604">
      <w:pPr>
        <w:pStyle w:val="NormalWeb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A00604">
        <w:rPr>
          <w:rFonts w:asciiTheme="minorHAnsi" w:hAnsiTheme="minorHAnsi" w:cstheme="minorHAnsi"/>
          <w:sz w:val="22"/>
          <w:szCs w:val="22"/>
        </w:rPr>
        <w:t>López Ahumada, E. (2017). La transversalidad de la igualdad de género y la promoción de condiciones justas en el trabajo: Revisión de instrumentos y políticas promovidas por la OIT. Temas Socio-jurídicos, 36(72), 229-276.</w:t>
      </w:r>
      <w:r w:rsidR="00FF1A6E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FF1A6E" w:rsidRPr="00FF1A6E">
          <w:rPr>
            <w:rStyle w:val="Hipervnculo"/>
            <w:rFonts w:asciiTheme="minorHAnsi" w:hAnsiTheme="minorHAnsi" w:cstheme="minorHAnsi"/>
            <w:sz w:val="22"/>
            <w:szCs w:val="22"/>
          </w:rPr>
          <w:t>Enlace a texto.</w:t>
        </w:r>
      </w:hyperlink>
    </w:p>
    <w:p w14:paraId="23D86945" w14:textId="77777777" w:rsidR="00A00604" w:rsidRPr="00A00604" w:rsidRDefault="00A00604" w:rsidP="00A00604">
      <w:pPr>
        <w:pStyle w:val="NormalWeb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A00604">
        <w:rPr>
          <w:rFonts w:asciiTheme="minorHAnsi" w:hAnsiTheme="minorHAnsi" w:cstheme="minorHAnsi"/>
          <w:sz w:val="22"/>
          <w:szCs w:val="22"/>
        </w:rPr>
        <w:t xml:space="preserve">Pérez del Prado, D. (2018). Políticas de empleo y enfoque de género. </w:t>
      </w:r>
      <w:proofErr w:type="spellStart"/>
      <w:r w:rsidRPr="00A00604">
        <w:rPr>
          <w:rFonts w:asciiTheme="minorHAnsi" w:hAnsiTheme="minorHAnsi" w:cstheme="minorHAnsi"/>
          <w:sz w:val="22"/>
          <w:szCs w:val="22"/>
        </w:rPr>
        <w:t>Lan</w:t>
      </w:r>
      <w:proofErr w:type="spellEnd"/>
      <w:r w:rsidRPr="00A00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00604">
        <w:rPr>
          <w:rFonts w:asciiTheme="minorHAnsi" w:hAnsiTheme="minorHAnsi" w:cstheme="minorHAnsi"/>
          <w:sz w:val="22"/>
          <w:szCs w:val="22"/>
        </w:rPr>
        <w:t>Harremanak</w:t>
      </w:r>
      <w:proofErr w:type="spellEnd"/>
      <w:r w:rsidRPr="00A0060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A00604">
        <w:rPr>
          <w:rFonts w:asciiTheme="minorHAnsi" w:hAnsiTheme="minorHAnsi" w:cstheme="minorHAnsi"/>
          <w:sz w:val="22"/>
          <w:szCs w:val="22"/>
        </w:rPr>
        <w:t xml:space="preserve"> Revista De Relaciones Laborales, (38), 42-66.</w:t>
      </w:r>
    </w:p>
    <w:p w14:paraId="21E87212" w14:textId="6B8CB839" w:rsidR="0014179E" w:rsidRPr="00A00604" w:rsidRDefault="00A00604" w:rsidP="00A00604">
      <w:pPr>
        <w:pStyle w:val="NormalWeb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A00604">
        <w:rPr>
          <w:rFonts w:asciiTheme="minorHAnsi" w:hAnsiTheme="minorHAnsi" w:cstheme="minorHAnsi"/>
          <w:sz w:val="22"/>
          <w:szCs w:val="22"/>
        </w:rPr>
        <w:t>Pineda Duque, J., &amp; Luna Ruiz, A. (2018). Intersecciones de género y discapacidad. La inclusión laboral de mujeres con discapacidad. Sociedad Y Economía, (35), 158-177.</w:t>
      </w:r>
      <w:hyperlink r:id="rId12" w:anchor=":~:text=Analizar%20la%20inclusi%C3%B3n%20laboral%20de%20mujeres%20con%20discapacidad,particular%20la%20inclusi%C3%B3n%20laboral%20de%20las%20mujeres%20discapacitadas." w:history="1">
        <w:r w:rsidRPr="00FF1A6E">
          <w:rPr>
            <w:rStyle w:val="Hipervnculo"/>
            <w:rFonts w:asciiTheme="minorHAnsi" w:hAnsiTheme="minorHAnsi" w:cstheme="minorHAnsi"/>
            <w:sz w:val="22"/>
            <w:szCs w:val="22"/>
          </w:rPr>
          <w:t>Enlace a texto</w:t>
        </w:r>
      </w:hyperlink>
    </w:p>
    <w:sectPr w:rsidR="0014179E" w:rsidRPr="00A00604" w:rsidSect="00C95F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EC113" w14:textId="77777777" w:rsidR="0021546E" w:rsidRDefault="0021546E" w:rsidP="00F96661">
      <w:r>
        <w:separator/>
      </w:r>
    </w:p>
  </w:endnote>
  <w:endnote w:type="continuationSeparator" w:id="0">
    <w:p w14:paraId="2FB84CF5" w14:textId="77777777" w:rsidR="0021546E" w:rsidRDefault="0021546E" w:rsidP="00F9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AC5BE" w14:textId="77777777" w:rsidR="007E22EC" w:rsidRDefault="007E22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1025F" w14:textId="77777777" w:rsidR="007E22EC" w:rsidRDefault="007E22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CC70" w14:textId="77777777" w:rsidR="007E22EC" w:rsidRDefault="007E22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23380" w14:textId="77777777" w:rsidR="0021546E" w:rsidRDefault="0021546E" w:rsidP="00F96661">
      <w:r>
        <w:separator/>
      </w:r>
    </w:p>
  </w:footnote>
  <w:footnote w:type="continuationSeparator" w:id="0">
    <w:p w14:paraId="54E32231" w14:textId="77777777" w:rsidR="0021546E" w:rsidRDefault="0021546E" w:rsidP="00F9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BF4C8" w14:textId="77777777" w:rsidR="007E22EC" w:rsidRDefault="0021546E">
    <w:pPr>
      <w:pStyle w:val="Encabezado"/>
    </w:pPr>
    <w:r>
      <w:rPr>
        <w:noProof/>
      </w:rPr>
      <w:pict w14:anchorId="10433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464735" o:spid="_x0000_s2053" type="#_x0000_t75" style="position:absolute;margin-left:0;margin-top:0;width:565.6pt;height:800pt;z-index:-251657216;mso-position-horizontal:center;mso-position-horizontal-relative:margin;mso-position-vertical:center;mso-position-vertical-relative:margin" o:allowincell="f">
          <v:imagedata r:id="rId1" o:title="Amarillo Atom Ciencia Oficial 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18B34" w14:textId="77777777" w:rsidR="004812CE" w:rsidRDefault="0021546E" w:rsidP="00E5077A">
    <w:pPr>
      <w:pStyle w:val="Encabezado"/>
      <w:jc w:val="right"/>
    </w:pPr>
    <w:r>
      <w:rPr>
        <w:noProof/>
      </w:rPr>
      <w:pict w14:anchorId="7E927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464736" o:spid="_x0000_s2054" type="#_x0000_t75" style="position:absolute;left:0;text-align:left;margin-left:0;margin-top:0;width:565.6pt;height:800pt;z-index:-251656192;mso-position-horizontal:center;mso-position-horizontal-relative:margin;mso-position-vertical:center;mso-position-vertical-relative:margin" o:allowincell="f">
          <v:imagedata r:id="rId1" o:title="Amarillo Atom Ciencia Oficial 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EBEE" w14:textId="77777777" w:rsidR="007E22EC" w:rsidRDefault="0021546E">
    <w:pPr>
      <w:pStyle w:val="Encabezado"/>
    </w:pPr>
    <w:r>
      <w:rPr>
        <w:noProof/>
      </w:rPr>
      <w:pict w14:anchorId="5480B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464734" o:spid="_x0000_s2052" type="#_x0000_t75" style="position:absolute;margin-left:0;margin-top:0;width:565.6pt;height:800pt;z-index:-251658240;mso-position-horizontal:center;mso-position-horizontal-relative:margin;mso-position-vertical:center;mso-position-vertical-relative:margin" o:allowincell="f">
          <v:imagedata r:id="rId1" o:title="Amarillo Atom Ciencia Oficial 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C7C"/>
    <w:multiLevelType w:val="hybridMultilevel"/>
    <w:tmpl w:val="521ED1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7ACD"/>
    <w:multiLevelType w:val="hybridMultilevel"/>
    <w:tmpl w:val="A5820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B664B"/>
    <w:multiLevelType w:val="hybridMultilevel"/>
    <w:tmpl w:val="11A896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69E"/>
    <w:multiLevelType w:val="hybridMultilevel"/>
    <w:tmpl w:val="285A7D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100A"/>
    <w:multiLevelType w:val="hybridMultilevel"/>
    <w:tmpl w:val="F03CC2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C0862"/>
    <w:multiLevelType w:val="multilevel"/>
    <w:tmpl w:val="897C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A067C"/>
    <w:multiLevelType w:val="hybridMultilevel"/>
    <w:tmpl w:val="98D4A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65B1C"/>
    <w:multiLevelType w:val="hybridMultilevel"/>
    <w:tmpl w:val="3228A3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E0B01"/>
    <w:multiLevelType w:val="hybridMultilevel"/>
    <w:tmpl w:val="B776C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174EE"/>
    <w:multiLevelType w:val="hybridMultilevel"/>
    <w:tmpl w:val="51B023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81F28"/>
    <w:multiLevelType w:val="hybridMultilevel"/>
    <w:tmpl w:val="0B88BC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3459A"/>
    <w:multiLevelType w:val="multilevel"/>
    <w:tmpl w:val="E8C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36B61"/>
    <w:multiLevelType w:val="hybridMultilevel"/>
    <w:tmpl w:val="52503E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634FA"/>
    <w:multiLevelType w:val="multilevel"/>
    <w:tmpl w:val="4EDC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02B28"/>
    <w:multiLevelType w:val="hybridMultilevel"/>
    <w:tmpl w:val="224E6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33E01"/>
    <w:multiLevelType w:val="hybridMultilevel"/>
    <w:tmpl w:val="C03A0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54CF6"/>
    <w:multiLevelType w:val="hybridMultilevel"/>
    <w:tmpl w:val="A2D41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53E3E"/>
    <w:multiLevelType w:val="hybridMultilevel"/>
    <w:tmpl w:val="0BE0D5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D0C98"/>
    <w:multiLevelType w:val="hybridMultilevel"/>
    <w:tmpl w:val="BB6C9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518A2"/>
    <w:multiLevelType w:val="hybridMultilevel"/>
    <w:tmpl w:val="616245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F4D93"/>
    <w:multiLevelType w:val="hybridMultilevel"/>
    <w:tmpl w:val="7214E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B53F7"/>
    <w:multiLevelType w:val="multilevel"/>
    <w:tmpl w:val="FB7E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8437C7"/>
    <w:multiLevelType w:val="hybridMultilevel"/>
    <w:tmpl w:val="18C46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91CC2"/>
    <w:multiLevelType w:val="hybridMultilevel"/>
    <w:tmpl w:val="D3109F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133E1"/>
    <w:multiLevelType w:val="hybridMultilevel"/>
    <w:tmpl w:val="1B24AC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E6928"/>
    <w:multiLevelType w:val="hybridMultilevel"/>
    <w:tmpl w:val="C8ECB0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19"/>
  </w:num>
  <w:num w:numId="5">
    <w:abstractNumId w:val="20"/>
  </w:num>
  <w:num w:numId="6">
    <w:abstractNumId w:val="10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16"/>
  </w:num>
  <w:num w:numId="12">
    <w:abstractNumId w:val="24"/>
  </w:num>
  <w:num w:numId="13">
    <w:abstractNumId w:val="17"/>
  </w:num>
  <w:num w:numId="14">
    <w:abstractNumId w:val="3"/>
  </w:num>
  <w:num w:numId="15">
    <w:abstractNumId w:val="4"/>
  </w:num>
  <w:num w:numId="16">
    <w:abstractNumId w:val="12"/>
  </w:num>
  <w:num w:numId="17">
    <w:abstractNumId w:val="22"/>
  </w:num>
  <w:num w:numId="18">
    <w:abstractNumId w:val="9"/>
  </w:num>
  <w:num w:numId="19">
    <w:abstractNumId w:val="0"/>
  </w:num>
  <w:num w:numId="20">
    <w:abstractNumId w:val="7"/>
  </w:num>
  <w:num w:numId="21">
    <w:abstractNumId w:val="6"/>
  </w:num>
  <w:num w:numId="22">
    <w:abstractNumId w:val="11"/>
  </w:num>
  <w:num w:numId="23">
    <w:abstractNumId w:val="21"/>
  </w:num>
  <w:num w:numId="24">
    <w:abstractNumId w:val="13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0E"/>
    <w:rsid w:val="000135EC"/>
    <w:rsid w:val="00027301"/>
    <w:rsid w:val="000414CE"/>
    <w:rsid w:val="000435F6"/>
    <w:rsid w:val="00055984"/>
    <w:rsid w:val="000659DE"/>
    <w:rsid w:val="0007581A"/>
    <w:rsid w:val="000833E3"/>
    <w:rsid w:val="00083B1C"/>
    <w:rsid w:val="000A3E91"/>
    <w:rsid w:val="000F5C50"/>
    <w:rsid w:val="0014179E"/>
    <w:rsid w:val="001F44E6"/>
    <w:rsid w:val="001F52F3"/>
    <w:rsid w:val="0021546E"/>
    <w:rsid w:val="00245FB0"/>
    <w:rsid w:val="00252872"/>
    <w:rsid w:val="002B12D3"/>
    <w:rsid w:val="002E4082"/>
    <w:rsid w:val="0035682A"/>
    <w:rsid w:val="003731C2"/>
    <w:rsid w:val="003C0646"/>
    <w:rsid w:val="003C6059"/>
    <w:rsid w:val="003D560E"/>
    <w:rsid w:val="003E3B47"/>
    <w:rsid w:val="003F0C1D"/>
    <w:rsid w:val="003F1CC4"/>
    <w:rsid w:val="003F350A"/>
    <w:rsid w:val="00405E26"/>
    <w:rsid w:val="00414B99"/>
    <w:rsid w:val="004376CF"/>
    <w:rsid w:val="004741EE"/>
    <w:rsid w:val="004812CE"/>
    <w:rsid w:val="00491AF6"/>
    <w:rsid w:val="004F4D2E"/>
    <w:rsid w:val="00505195"/>
    <w:rsid w:val="00505D34"/>
    <w:rsid w:val="00507E21"/>
    <w:rsid w:val="00517667"/>
    <w:rsid w:val="00527685"/>
    <w:rsid w:val="00537E83"/>
    <w:rsid w:val="0055009F"/>
    <w:rsid w:val="00552511"/>
    <w:rsid w:val="00580812"/>
    <w:rsid w:val="0058191E"/>
    <w:rsid w:val="005A1137"/>
    <w:rsid w:val="005D4EBD"/>
    <w:rsid w:val="006058E0"/>
    <w:rsid w:val="00614AF1"/>
    <w:rsid w:val="00642EBF"/>
    <w:rsid w:val="00661D5A"/>
    <w:rsid w:val="00674E1A"/>
    <w:rsid w:val="006956B2"/>
    <w:rsid w:val="006D0848"/>
    <w:rsid w:val="006E6E31"/>
    <w:rsid w:val="006F754B"/>
    <w:rsid w:val="00720B9B"/>
    <w:rsid w:val="00723248"/>
    <w:rsid w:val="007406DB"/>
    <w:rsid w:val="00763640"/>
    <w:rsid w:val="007C6461"/>
    <w:rsid w:val="007E22EC"/>
    <w:rsid w:val="007E4FB7"/>
    <w:rsid w:val="008341E5"/>
    <w:rsid w:val="00837D4E"/>
    <w:rsid w:val="00881373"/>
    <w:rsid w:val="00882AEF"/>
    <w:rsid w:val="00893DD1"/>
    <w:rsid w:val="008A251A"/>
    <w:rsid w:val="008C244A"/>
    <w:rsid w:val="008E7E25"/>
    <w:rsid w:val="008F34C7"/>
    <w:rsid w:val="008F55C0"/>
    <w:rsid w:val="00900582"/>
    <w:rsid w:val="009204DF"/>
    <w:rsid w:val="00945325"/>
    <w:rsid w:val="00977ABF"/>
    <w:rsid w:val="009B5ABF"/>
    <w:rsid w:val="009B7B73"/>
    <w:rsid w:val="009C2209"/>
    <w:rsid w:val="009D558D"/>
    <w:rsid w:val="00A00604"/>
    <w:rsid w:val="00A12680"/>
    <w:rsid w:val="00A15C0E"/>
    <w:rsid w:val="00A34D06"/>
    <w:rsid w:val="00A47FC0"/>
    <w:rsid w:val="00A61544"/>
    <w:rsid w:val="00A65D05"/>
    <w:rsid w:val="00A76F58"/>
    <w:rsid w:val="00AA0D48"/>
    <w:rsid w:val="00AC763F"/>
    <w:rsid w:val="00AE6DC8"/>
    <w:rsid w:val="00AF71D7"/>
    <w:rsid w:val="00B26FB1"/>
    <w:rsid w:val="00B374B9"/>
    <w:rsid w:val="00B44489"/>
    <w:rsid w:val="00B468FF"/>
    <w:rsid w:val="00B55EA5"/>
    <w:rsid w:val="00B616A3"/>
    <w:rsid w:val="00B61C09"/>
    <w:rsid w:val="00BD7173"/>
    <w:rsid w:val="00BE192B"/>
    <w:rsid w:val="00BF7EB7"/>
    <w:rsid w:val="00C112D5"/>
    <w:rsid w:val="00C125D4"/>
    <w:rsid w:val="00C460D2"/>
    <w:rsid w:val="00C46868"/>
    <w:rsid w:val="00C95F89"/>
    <w:rsid w:val="00CA26F7"/>
    <w:rsid w:val="00CE5748"/>
    <w:rsid w:val="00D515EA"/>
    <w:rsid w:val="00D733BD"/>
    <w:rsid w:val="00D752A3"/>
    <w:rsid w:val="00D776A9"/>
    <w:rsid w:val="00D80026"/>
    <w:rsid w:val="00DA4864"/>
    <w:rsid w:val="00DB23E2"/>
    <w:rsid w:val="00DD663F"/>
    <w:rsid w:val="00DE0257"/>
    <w:rsid w:val="00E141A7"/>
    <w:rsid w:val="00E37C33"/>
    <w:rsid w:val="00E5077A"/>
    <w:rsid w:val="00E577AB"/>
    <w:rsid w:val="00EE7827"/>
    <w:rsid w:val="00F00774"/>
    <w:rsid w:val="00F035FB"/>
    <w:rsid w:val="00F24FFA"/>
    <w:rsid w:val="00F3464A"/>
    <w:rsid w:val="00F53A22"/>
    <w:rsid w:val="00F82693"/>
    <w:rsid w:val="00F86760"/>
    <w:rsid w:val="00F91878"/>
    <w:rsid w:val="00F96661"/>
    <w:rsid w:val="00FC44C4"/>
    <w:rsid w:val="00FE110F"/>
    <w:rsid w:val="00FF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ADD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6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6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66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6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33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12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2CE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245FB0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14179E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1A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6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6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66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6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33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12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2CE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245FB0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14179E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137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59865">
          <w:marLeft w:val="-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08">
          <w:marLeft w:val="-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lo.org.co/scielo.php?script=sci_arttext&amp;pid=S1657-6357201800020015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teca.corteidh.or.cr/tablas/r37671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insal.cl/wp-content/uploads/2015/11/Guia-Lineaminetos-de-G%c3%a9nero-en-Salud-Ocupacional-para-SEREMIs-de-Salud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J7WnZXi_L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7A3B-955D-43DF-BD5B-5AAFF323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Osses</dc:creator>
  <cp:lastModifiedBy>usuario</cp:lastModifiedBy>
  <cp:revision>9</cp:revision>
  <cp:lastPrinted>2023-03-28T13:25:00Z</cp:lastPrinted>
  <dcterms:created xsi:type="dcterms:W3CDTF">2024-04-26T21:06:00Z</dcterms:created>
  <dcterms:modified xsi:type="dcterms:W3CDTF">2024-05-23T14:42:00Z</dcterms:modified>
</cp:coreProperties>
</file>