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Lengua de Señas Chilena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28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13/08/2026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19/08/2026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20/08/2026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26/08/2026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27/08/2026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09/09/2026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10/09/2026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 hrs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Rudecindo Ortega #02351, Temuco (confirmar si necesita traslado desde Campus San Francisco a Educación Continua)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1238061764 (Comunicación en lengua de señas chilena)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$196.000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2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3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A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/TI/czepNY06Wke8L9cAsppJug==">CgMxLjAyCGguZ2pkZ3hzMg5oLjEzNnpxZzVibmIxdzINaC5tOTFtZHZxcWw0cjgAciExOGkteDZpNHZ4WEM5NDhNUTVnRWZ6cmQzNV82MDNRQmQ=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