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Optimización del tiempo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 hrs cronológicas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Inicio 10/07/2026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Término 24/07/2026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asincrónico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EClass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1238045367 (Estrategias de bienestar laboral en la organización)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$336.000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Traslado desde Campus San Francisco: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19"/>
                <w:tab w:val="left" w:leader="none" w:pos="1169"/>
                <w:tab w:val="left" w:leader="none" w:pos="3827"/>
                <w:tab w:val="left" w:leader="none" w:pos="490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Ida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Ida y vuelta 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 Aplica</w:t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3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04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18-06-2026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5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3RVQzZNA9NbpdWHX3EKNLZTZAA==">CgMxLjAyCGguZ2pkZ3hzMg5oLjEzNnpxZzVibmIxdzINaC5tOTFtZHZxcWw0cjgAciExdlFseFIzZFJINFJ4RDVGX1A0VThGczVOLTkzNHhrdmo=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