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RCP y uso de DEA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04/08/26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05/08/26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06/08/26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 (Confirmar si desea traslado desde Campus San Francisco)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1238063433 (Reanimación cardiopulmonar (RCP) y uso de Desfibrilador Automático (DEA))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$150.000</w:t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4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7iKiRbSXz2bg/wpwGssUi8Xzg==">CgMxLjAyCGguZ2pkZ3hzMg5oLjEzNnpxZzVibmIxdzINaC5tOTFtZHZxcWw0cjgAciExbkI4MWlGOTBFQ29DeUFPWVg2Mk9Hd3cybDFGRE4xY3E=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