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Sustentabilidad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 07/10/2026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 04/11/2026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E-Learning Asincrónico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CECAP, Centro Educación Continua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1238049053 (Estrategias para el manejo de la sustentabilidad y acción climática en el trabajo)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$168.000</w:t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109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7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8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9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1066167</wp:posOffset>
                </wp:positionH>
                <wp:positionV relativeFrom="paragraph">
                  <wp:posOffset>-300987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2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03</w:t>
          </w:r>
        </w:p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27-01-2026</w:t>
          </w:r>
        </w:p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3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w3XYs/MpgQUOdrfaVhvpEcM5Q==">CgMxLjAyCGguZ2pkZ3hzMg5oLjEzNnpxZzVibmIxdzINaC5tOTFtZHZxcWw0cjgAciExVngwN2h2Q09NeEM4U0k5bk1scEtqbE05VDhzNmUyUnk=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